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line="240" w:lineRule="auto"/>
        <w:jc w:val="center"/>
        <w:rPr>
          <w:rStyle w:val="Ninguno"/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Style w:val="Ninguno"/>
          <w:rFonts w:ascii="Helvetica Neue" w:hAnsi="Helvetica Neue"/>
          <w:b w:val="1"/>
          <w:bCs w:val="1"/>
          <w:sz w:val="28"/>
          <w:szCs w:val="28"/>
          <w:rtl w:val="0"/>
          <w:lang w:val="es-ES_tradnl"/>
        </w:rPr>
        <w:t>Solidaridad y compromiso constantes ante los desastres naturales: Fundaci</w:t>
      </w:r>
      <w:r>
        <w:rPr>
          <w:rStyle w:val="Ninguno"/>
          <w:rFonts w:ascii="Helvetica Neue" w:hAnsi="Helvetica Neue" w:hint="default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Helvetica Neue" w:hAnsi="Helvetica Neue"/>
          <w:b w:val="1"/>
          <w:bCs w:val="1"/>
          <w:sz w:val="28"/>
          <w:szCs w:val="28"/>
          <w:rtl w:val="0"/>
          <w:lang w:val="es-ES_tradnl"/>
        </w:rPr>
        <w:t>n Herdez a un a</w:t>
      </w:r>
      <w:r>
        <w:rPr>
          <w:rStyle w:val="Ninguno"/>
          <w:rFonts w:ascii="Helvetica Neue" w:hAnsi="Helvetica Neue" w:hint="default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Helvetica Neue" w:hAnsi="Helvetica Neue"/>
          <w:b w:val="1"/>
          <w:bCs w:val="1"/>
          <w:sz w:val="28"/>
          <w:szCs w:val="28"/>
          <w:rtl w:val="0"/>
          <w:lang w:val="es-ES_tradnl"/>
        </w:rPr>
        <w:t>o del 19S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Ciudad de M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xico, a </w:t>
      </w:r>
      <w:r>
        <w:rPr>
          <w:rStyle w:val="Ninguno"/>
          <w:b w:val="1"/>
          <w:bCs w:val="1"/>
          <w:rtl w:val="0"/>
          <w:lang w:val="es-ES_tradnl"/>
        </w:rPr>
        <w:t>18</w:t>
      </w:r>
      <w:r>
        <w:rPr>
          <w:rStyle w:val="Ninguno"/>
          <w:b w:val="1"/>
          <w:bCs w:val="1"/>
          <w:rtl w:val="0"/>
          <w:lang w:val="es-ES_tradnl"/>
        </w:rPr>
        <w:t xml:space="preserve"> 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de septiembre de 2018.- </w:t>
      </w:r>
      <w:r>
        <w:rPr>
          <w:rStyle w:val="Ninguno"/>
          <w:rtl w:val="0"/>
          <w:lang w:val="es-ES_tradnl"/>
        </w:rPr>
        <w:t>Durante los pasados 7 y 19 de septiembre de 2017 se suscitaron dos terremotos de gran magnitud que afectaron a diversas zonas del sur y centro del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xico, generando da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en miles de inmuebles y decenas de p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rdidas humanas. A un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de estos lamentables hechos, Grupo Herdez a trav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de su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 hace un recuento de los apoyos que brind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a la poblaci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n, los cuales se sumaron a las grandes aportaciones hechas por todos los mexicanos. 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La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Herdez inici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 xml:space="preserve">sus proyectos sociales en 1988 al impulsar un Programa Mensual de Donaciones, apoyando  con alimentos de todas las marcas de Grupo Herdez a  diversas instituciones comprometidas con la sociedad. Como parte de este programa que atiende a </w:t>
      </w:r>
      <w:r>
        <w:rPr>
          <w:rStyle w:val="Ninguno"/>
          <w:rtl w:val="0"/>
          <w:lang w:val="es-ES_tradnl"/>
        </w:rPr>
        <w:t>poblaciones</w:t>
      </w:r>
      <w:r>
        <w:rPr>
          <w:rStyle w:val="Ninguno"/>
          <w:rtl w:val="0"/>
          <w:lang w:val="es-ES_tradnl"/>
        </w:rPr>
        <w:t xml:space="preserve"> con pobreza alimentaria, se firm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en 2006 un convenio con la Asociaci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Mexicana de Banco de Alimentos (hoy llamado Banco de Alimentos de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xico, BAMX), para agilizar y asegurar las donaciones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lograr una mayor cobertura territorial.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s, existe otro programa  que se instituy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en caso de presentarse situaciones de desastres naturales.  Desde 1994,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Herdez ha participado activamente en la entrega de donaciones en especie y apoyos en distintos estados de la Rep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blica, as</w:t>
      </w:r>
      <w:r>
        <w:rPr>
          <w:rStyle w:val="Ninguno"/>
          <w:rtl w:val="0"/>
          <w:lang w:val="es-ES_tradnl"/>
        </w:rPr>
        <w:t xml:space="preserve">í </w:t>
      </w:r>
      <w:r>
        <w:rPr>
          <w:rStyle w:val="Ninguno"/>
          <w:rtl w:val="0"/>
          <w:lang w:val="es-ES_tradnl"/>
        </w:rPr>
        <w:t>como en otros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ses hermanos. A la fecha se han entregado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de 70 mil despensas a 19 entidades federativas, ayudando a miles de damnificados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rtl w:val="0"/>
          <w:lang w:val="es-ES_tradnl"/>
        </w:rPr>
        <w:t>afectados por huracanes, inundaciones, erupciones volc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nicas, derrumbes, sequ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y terremotos.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Siguiendo con este constante compromiso, Grupo Herdez se solidariza con el pueblo mexicano una vez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s, en de septiembre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pasado, la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Herdez trabaj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en conjunto con diversas instituciones p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blicas y privadas </w:t>
      </w:r>
      <w:r>
        <w:rPr>
          <w:rStyle w:val="Ninguno"/>
          <w:rtl w:val="0"/>
          <w:lang w:val="es-ES_tradnl"/>
        </w:rPr>
        <w:t>–</w:t>
      </w:r>
      <w:r>
        <w:rPr>
          <w:rStyle w:val="Ninguno"/>
          <w:rtl w:val="0"/>
          <w:lang w:val="es-ES_tradnl"/>
        </w:rPr>
        <w:t>como la Cruz Roja Mexicana, la Sedena,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Milenio, la Secretar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Turismo, la Universidad Nacional Aut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noma de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xico, entre otras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para entregar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de 80 toneladas</w:t>
      </w:r>
      <w:r>
        <w:rPr>
          <w:rStyle w:val="Ninguno"/>
          <w:rtl w:val="0"/>
          <w:lang w:val="es-ES_tradnl"/>
        </w:rPr>
        <w:t xml:space="preserve"> de producto</w:t>
      </w:r>
      <w:r>
        <w:rPr>
          <w:rStyle w:val="Ninguno"/>
          <w:rtl w:val="0"/>
          <w:lang w:val="es-ES_tradnl"/>
        </w:rPr>
        <w:t xml:space="preserve"> y de esta forma apoyar a las distintas zonas del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 afectadas por los sismos: CDMX, Chiapas, Morelos, Oaxaca y Puebla. 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Adem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s,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Herdez particip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activamente en diversas acciones en beneficio de la poblaci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 una brigada de voluntarios conformada por colaboradores del Grupo Herdez, quienes formaron parte en la elaboraci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traslado, descarga y entrega de despensas en las distintas zonas afectadas por el terremoto.</w:t>
      </w:r>
    </w:p>
    <w:p>
      <w:pPr>
        <w:pStyle w:val="Cuerpo"/>
        <w:spacing w:line="240" w:lineRule="auto"/>
        <w:jc w:val="both"/>
        <w:rPr>
          <w:rStyle w:val="Ninguno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Se cumple un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de uno de los sucesos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dolorosos que ha vivido nuestro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 en las 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ltimas d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cadas. Sin embargo, el compromiso y el apoyo constantes de todos los mexicanos para sobreponerse a estas vicisitudes crean un halo de esperanza que inspiran a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Herdez a formar parte de las causas que hacen mejor a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xico.</w:t>
      </w:r>
    </w:p>
    <w:p>
      <w:pPr>
        <w:pStyle w:val="Cuerpo"/>
        <w:spacing w:line="24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"/>
          <w:rtl w:val="0"/>
          <w:lang w:val="es-ES_tradnl"/>
        </w:rPr>
        <w:t>Para conocer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sobre las actividades y publicaciones de Fundaci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Herdez, visita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"http://www.fundacionherdez.com.mx/"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www.fundacionherdez.com.mx</w:t>
      </w:r>
      <w:r>
        <w:rPr/>
        <w:fldChar w:fldCharType="end" w:fldLock="0"/>
      </w:r>
      <w:r>
        <w:rPr>
          <w:rStyle w:val="Ninguno"/>
          <w:rtl w:val="0"/>
          <w:lang w:val="es-ES_tradnl"/>
        </w:rPr>
        <w:t xml:space="preserve"> y sus redes sociales:</w:t>
      </w:r>
    </w:p>
    <w:p>
      <w:pPr>
        <w:pStyle w:val="Cuerpo"/>
        <w:spacing w:line="240" w:lineRule="auto"/>
        <w:rPr>
          <w:rStyle w:val="Ninguno"/>
          <w:rFonts w:ascii="Times New Roman" w:cs="Times New Roman" w:hAnsi="Times New Roman" w:eastAsia="Times New Roman"/>
          <w:sz w:val="24"/>
          <w:szCs w:val="24"/>
          <w:lang w:val="es-ES_tradnl"/>
        </w:rPr>
      </w:pPr>
    </w:p>
    <w:p>
      <w:pPr>
        <w:pStyle w:val="Cuerpo"/>
        <w:numPr>
          <w:ilvl w:val="0"/>
          <w:numId w:val="2"/>
        </w:numPr>
        <w:spacing w:line="240" w:lineRule="auto"/>
        <w:jc w:val="both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"https://www.facebook.com/Fundaci%25C3%25B3n-Herdez-AC-187297011323266/"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</w:t>
      </w:r>
      <w:r>
        <w:rPr/>
        <w:fldChar w:fldCharType="end" w:fldLock="0"/>
      </w:r>
    </w:p>
    <w:p>
      <w:pPr>
        <w:pStyle w:val="Cuerpo"/>
        <w:numPr>
          <w:ilvl w:val="0"/>
          <w:numId w:val="2"/>
        </w:numPr>
        <w:spacing w:line="240" w:lineRule="auto"/>
        <w:jc w:val="both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"https://www.youtube.com/channel/UCDWei_PNViQ4M0BopdMGUHA"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YouTube</w:t>
      </w:r>
      <w:r>
        <w:rPr/>
        <w:fldChar w:fldCharType="end" w:fldLock="0"/>
      </w: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uerpo"/>
        <w:spacing w:line="240" w:lineRule="auto"/>
        <w:jc w:val="both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  <w:lang w:val="es-ES_tradnl"/>
        </w:rPr>
        <w:t>Acerca de Fundaci</w:t>
      </w:r>
      <w:r>
        <w:rPr>
          <w:rStyle w:val="Ninguno"/>
          <w:rFonts w:ascii="Helvetica Neue" w:hAnsi="Helvetica Neue" w:hint="default"/>
          <w:b w:val="1"/>
          <w:bCs w:val="1"/>
          <w:sz w:val="20"/>
          <w:szCs w:val="20"/>
          <w:rtl w:val="0"/>
          <w:lang w:val="en-US"/>
        </w:rPr>
        <w:t>ó</w:t>
      </w:r>
      <w:r>
        <w:rPr>
          <w:rStyle w:val="Ninguno"/>
          <w:rFonts w:ascii="Helvetica Neue" w:hAnsi="Helvetica Neue"/>
          <w:b w:val="1"/>
          <w:bCs w:val="1"/>
          <w:sz w:val="20"/>
          <w:szCs w:val="20"/>
          <w:rtl w:val="0"/>
        </w:rPr>
        <w:t>n Herdez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</w:rPr>
      </w:pPr>
      <w:r>
        <w:rPr>
          <w:rStyle w:val="Ninguno"/>
          <w:sz w:val="20"/>
          <w:szCs w:val="20"/>
          <w:rtl w:val="0"/>
          <w:lang w:val="es-ES_tradnl"/>
        </w:rPr>
        <w:t>Fundaci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Herdez, A.C. es una asociaci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filantr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pica sin fines de lucro que fue creada para brindar un servicio a la sociedad civil de nuestro pa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s. Fue fundada en la ciudad de M</w:t>
      </w:r>
      <w:r>
        <w:rPr>
          <w:rStyle w:val="Ninguno"/>
          <w:sz w:val="20"/>
          <w:szCs w:val="20"/>
          <w:rtl w:val="0"/>
          <w:lang w:val="es-ES_tradnl"/>
        </w:rPr>
        <w:t>é</w:t>
      </w:r>
      <w:r>
        <w:rPr>
          <w:rStyle w:val="Ninguno"/>
          <w:sz w:val="20"/>
          <w:szCs w:val="20"/>
          <w:rtl w:val="0"/>
          <w:lang w:val="es-ES_tradnl"/>
        </w:rPr>
        <w:t>xico en 1988 por don Enrique Hern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ndez-Pons. La sede se encuentra en el Centro Hist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rico y su campo de acci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abarca toda la Rep</w:t>
      </w:r>
      <w:r>
        <w:rPr>
          <w:rStyle w:val="Ninguno"/>
          <w:sz w:val="20"/>
          <w:szCs w:val="20"/>
          <w:rtl w:val="0"/>
          <w:lang w:val="es-ES_tradnl"/>
        </w:rPr>
        <w:t>ú</w:t>
      </w:r>
      <w:r>
        <w:rPr>
          <w:rStyle w:val="Ninguno"/>
          <w:sz w:val="20"/>
          <w:szCs w:val="20"/>
          <w:rtl w:val="0"/>
          <w:lang w:val="es-ES_tradnl"/>
        </w:rPr>
        <w:t>blica Mexicana. Sus objetivos responden a una visi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institucional cuya misi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y estrategias est</w:t>
      </w:r>
      <w:r>
        <w:rPr>
          <w:rStyle w:val="Ninguno"/>
          <w:sz w:val="20"/>
          <w:szCs w:val="20"/>
          <w:rtl w:val="0"/>
          <w:lang w:val="es-ES_tradnl"/>
        </w:rPr>
        <w:t>á</w:t>
      </w:r>
      <w:r>
        <w:rPr>
          <w:rStyle w:val="Ninguno"/>
          <w:sz w:val="20"/>
          <w:szCs w:val="20"/>
          <w:rtl w:val="0"/>
          <w:lang w:val="es-ES_tradnl"/>
        </w:rPr>
        <w:t>n orientadas a la realizaci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n de proyectos sociales, educativos, culturales, cient</w:t>
      </w:r>
      <w:r>
        <w:rPr>
          <w:rStyle w:val="Ninguno"/>
          <w:sz w:val="20"/>
          <w:szCs w:val="20"/>
          <w:rtl w:val="0"/>
          <w:lang w:val="es-ES_tradnl"/>
        </w:rPr>
        <w:t>í</w:t>
      </w:r>
      <w:r>
        <w:rPr>
          <w:rStyle w:val="Ninguno"/>
          <w:sz w:val="20"/>
          <w:szCs w:val="20"/>
          <w:rtl w:val="0"/>
          <w:lang w:val="es-ES_tradnl"/>
        </w:rPr>
        <w:t>ficos y tecnol</w:t>
      </w:r>
      <w:r>
        <w:rPr>
          <w:rStyle w:val="Ninguno"/>
          <w:sz w:val="20"/>
          <w:szCs w:val="20"/>
          <w:rtl w:val="0"/>
          <w:lang w:val="es-ES_tradnl"/>
        </w:rPr>
        <w:t>ó</w:t>
      </w:r>
      <w:r>
        <w:rPr>
          <w:rStyle w:val="Ninguno"/>
          <w:sz w:val="20"/>
          <w:szCs w:val="20"/>
          <w:rtl w:val="0"/>
          <w:lang w:val="es-ES_tradnl"/>
        </w:rPr>
        <w:t>gicos en el campo alimentario.</w:t>
      </w:r>
    </w:p>
    <w:p>
      <w:pPr>
        <w:pStyle w:val="Cuerpo"/>
        <w:spacing w:line="240" w:lineRule="auto"/>
        <w:jc w:val="both"/>
        <w:rPr>
          <w:rStyle w:val="Ninguno"/>
          <w:sz w:val="20"/>
          <w:szCs w:val="20"/>
          <w:lang w:val="es-ES_tradnl"/>
        </w:rPr>
      </w:pPr>
    </w:p>
    <w:p>
      <w:pPr>
        <w:pStyle w:val="Cuerpo"/>
        <w:spacing w:line="24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</w:rPr>
      </w:pP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 xml:space="preserve">CONTACTO DE PRENSA </w:t>
      </w:r>
    </w:p>
    <w:p>
      <w:pPr>
        <w:pStyle w:val="Cuerpo"/>
        <w:spacing w:line="240" w:lineRule="auto"/>
        <w:jc w:val="both"/>
        <w:rPr>
          <w:rStyle w:val="Ninguno"/>
        </w:rPr>
      </w:pPr>
      <w:r>
        <w:rPr>
          <w:rStyle w:val="Ninguno"/>
          <w:rtl w:val="0"/>
          <w:lang w:val="es-ES_tradnl"/>
        </w:rPr>
        <w:t>Pablo Navarrete</w:t>
      </w:r>
    </w:p>
    <w:p>
      <w:pPr>
        <w:pStyle w:val="Cuerpo"/>
        <w:spacing w:line="240" w:lineRule="auto"/>
        <w:jc w:val="both"/>
      </w:pPr>
      <w:r>
        <w:rPr>
          <w:rStyle w:val="Ninguno"/>
          <w:rtl w:val="0"/>
          <w:lang w:val="es-ES_tradnl"/>
        </w:rPr>
        <w:t>pablo.navarrete@another.co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lang w:val="es-ES_tradnl"/>
        </w:rPr>
        <w:br w:type="textWrapping"/>
      </w:r>
      <w:r>
        <w:rPr>
          <w:rStyle w:val="Ninguno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center"/>
    </w:pPr>
    <w:r>
      <w:drawing>
        <wp:inline distT="0" distB="0" distL="0" distR="0">
          <wp:extent cx="2543175" cy="1398385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1398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color w:val="1155cc"/>
      <w:u w:val="single" w:color="1155cc"/>
      <w:lang w:val="es-ES_tradnl"/>
    </w:rPr>
  </w:style>
  <w:style w:type="character" w:styleId="Hyperlink.1">
    <w:name w:val="Hyperlink.1"/>
    <w:basedOn w:val="Ninguno"/>
    <w:next w:val="Hyperlink.1"/>
    <w:rPr>
      <w:rFonts w:ascii="Arial" w:cs="Arial" w:hAnsi="Arial" w:eastAsia="Arial"/>
      <w:color w:val="1155cc"/>
      <w:u w:val="single" w:color="1155cc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